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7m2jsg" w:id="0"/>
      <w:bookmarkEnd w:id="0"/>
      <w:r w:rsidDel="00000000" w:rsidR="00000000" w:rsidRPr="00000000">
        <w:rPr>
          <w:rFonts w:ascii="Calibri" w:cs="Calibri" w:eastAsia="Calibri" w:hAnsi="Calibri"/>
          <w:rtl w:val="0"/>
        </w:rPr>
        <w:t xml:space="preserve">DRUGS AND ALCOHOL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recognizes impairment as a serious health and safety issue in the workplace as it can reduce the abilities and judgement of employees. We also recognize that substance abuse and dependency are medical issues that certain employees may struggle with.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is therefore committed to: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“Fit for Duty”: means </w:t>
      </w:r>
      <w:r w:rsidDel="00000000" w:rsidR="00000000" w:rsidRPr="00000000">
        <w:rPr>
          <w:rFonts w:ascii="Calibri" w:cs="Calibri" w:eastAsia="Calibri" w:hAnsi="Calibri"/>
          <w:color w:val="313132"/>
          <w:highlight w:val="white"/>
          <w:rtl w:val="0"/>
        </w:rPr>
        <w:t xml:space="preserve">“</w:t>
      </w:r>
      <w:r w:rsidDel="00000000" w:rsidR="00000000" w:rsidRPr="00000000">
        <w:rPr>
          <w:rFonts w:ascii="Calibri" w:cs="Calibri" w:eastAsia="Calibri" w:hAnsi="Calibri"/>
          <w:highlight w:val="white"/>
          <w:rtl w:val="0"/>
        </w:rPr>
        <w:t xml:space="preserve">a physical, mental and emotional state which enables employees to perform their job tasks competently and continuously in a manner which does not compromise the integrity of the BC Public Service or create a safety hazard to themselves or others” (Source: Government of BC).</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yellow"/>
        </w:rPr>
      </w:pPr>
      <w:r w:rsidDel="00000000" w:rsidR="00000000" w:rsidRPr="00000000">
        <w:rPr>
          <w:rFonts w:ascii="Calibri" w:cs="Calibri" w:eastAsia="Calibri" w:hAnsi="Calibri"/>
          <w:rtl w:val="0"/>
        </w:rPr>
        <w:t xml:space="preserve">Medical Marijuana: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D">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Substance Abuse: The</w:t>
      </w:r>
      <w:r w:rsidDel="00000000" w:rsidR="00000000" w:rsidRPr="00000000">
        <w:rPr>
          <w:rFonts w:ascii="Calibri" w:cs="Calibri" w:eastAsia="Calibri" w:hAnsi="Calibri"/>
          <w:i w:val="1"/>
          <w:highlight w:val="white"/>
          <w:rtl w:val="0"/>
        </w:rPr>
        <w:t xml:space="preserve"> Canadian Human Rights Act</w:t>
      </w:r>
      <w:r w:rsidDel="00000000" w:rsidR="00000000" w:rsidRPr="00000000">
        <w:rPr>
          <w:rFonts w:ascii="Calibri" w:cs="Calibri" w:eastAsia="Calibri" w:hAnsi="Calibri"/>
          <w:highlight w:val="white"/>
          <w:rtl w:val="0"/>
        </w:rPr>
        <w:t xml:space="preserve"> defines dependence on drugs or alcohol (substance dependence) as a disability. This means that when an employee is diagnosed with substance dependence, they have a right to be accommodated by their employer—just as anyone else with a disability.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prohibits the use of any substances that lead to impairment such as drugs or alcohol, whether legal or illegal, while in the workplace or representing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unless they have been authorized in writing for use by management for medical reasons or in special circumstances such as a company event.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Safety Concerns with Machinery or Equipment</w:t>
      </w:r>
    </w:p>
    <w:p w:rsidR="00000000" w:rsidDel="00000000" w:rsidP="00000000" w:rsidRDefault="00000000" w:rsidRPr="00000000" w14:paraId="00000019">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yellow"/>
        </w:rPr>
      </w:pPr>
      <w:r w:rsidDel="00000000" w:rsidR="00000000" w:rsidRPr="00000000">
        <w:rPr>
          <w:rFonts w:ascii="Calibri" w:cs="Calibri" w:eastAsia="Calibri" w:hAnsi="Calibri"/>
          <w:rtl w:val="0"/>
        </w:rPr>
        <w:t xml:space="preserve">Driving or operating machinery, including work vehicles, while under the influence is strictly prohibited.  </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 or 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u w:val="single"/>
        </w:rPr>
      </w:pPr>
      <w:r w:rsidDel="00000000" w:rsidR="00000000" w:rsidRPr="00000000">
        <w:rPr>
          <w:rFonts w:ascii="Calibri" w:cs="Calibri" w:eastAsia="Calibri" w:hAnsi="Calibri"/>
          <w:u w:val="single"/>
          <w:rtl w:val="0"/>
        </w:rPr>
        <w:t xml:space="preserve">Work Events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 under the </w:t>
      </w:r>
      <w:r w:rsidDel="00000000" w:rsidR="00000000" w:rsidRPr="00000000">
        <w:rPr>
          <w:rFonts w:ascii="Calibri" w:cs="Calibri" w:eastAsia="Calibri" w:hAnsi="Calibri"/>
          <w:i w:val="1"/>
          <w:highlight w:val="white"/>
          <w:rtl w:val="0"/>
        </w:rPr>
        <w:t xml:space="preserve">Canadian Human Rights Act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Medical Use of Cannabis</w:t>
      </w:r>
    </w:p>
    <w:p w:rsidR="00000000" w:rsidDel="00000000" w:rsidP="00000000" w:rsidRDefault="00000000" w:rsidRPr="00000000" w14:paraId="0000002E">
      <w:pPr>
        <w:shd w:fill="ffffff" w:val="clear"/>
        <w:rPr>
          <w:rFonts w:ascii="Calibri" w:cs="Calibri" w:eastAsia="Calibri" w:hAnsi="Calibri"/>
          <w:sz w:val="21"/>
          <w:szCs w:val="21"/>
          <w:highlight w:val="white"/>
        </w:rPr>
      </w:pP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accordance with smoking and human rights laws: </w:t>
      </w:r>
    </w:p>
    <w:p w:rsidR="00000000" w:rsidDel="00000000" w:rsidP="00000000" w:rsidRDefault="00000000" w:rsidRPr="00000000" w14:paraId="0000003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1"/>
        </w:numPr>
        <w:shd w:fill="ffffff" w:val="clear"/>
        <w:ind w:left="720" w:hanging="360"/>
        <w:rPr>
          <w:rFonts w:ascii="Calibri" w:cs="Calibri" w:eastAsia="Calibri" w:hAnsi="Calibri"/>
          <w:sz w:val="21"/>
          <w:szCs w:val="21"/>
        </w:rPr>
      </w:pPr>
      <w:r w:rsidDel="00000000" w:rsidR="00000000" w:rsidRPr="00000000">
        <w:rPr>
          <w:rFonts w:ascii="Calibri" w:cs="Calibri" w:eastAsia="Calibri" w:hAnsi="Calibri"/>
          <w:rtl w:val="0"/>
        </w:rPr>
        <w:t xml:space="preserve">If the employee’s use of cannabis is impacting their performance at work, the organization has the duty to inquire, as with any other substance.</w:t>
      </w:r>
    </w:p>
    <w:p w:rsidR="00000000" w:rsidDel="00000000" w:rsidP="00000000" w:rsidRDefault="00000000" w:rsidRPr="00000000" w14:paraId="00000032">
      <w:pPr>
        <w:numPr>
          <w:ilvl w:val="0"/>
          <w:numId w:val="1"/>
        </w:numPr>
        <w:shd w:fill="ffffff" w:val="clear"/>
        <w:ind w:left="720" w:hanging="360"/>
        <w:rPr>
          <w:rFonts w:ascii="Calibri" w:cs="Calibri" w:eastAsia="Calibri" w:hAnsi="Calibri"/>
          <w:sz w:val="21"/>
          <w:szCs w:val="21"/>
        </w:rPr>
      </w:pPr>
      <w:r w:rsidDel="00000000" w:rsidR="00000000" w:rsidRPr="00000000">
        <w:rPr>
          <w:rFonts w:ascii="Calibri" w:cs="Calibri" w:eastAsia="Calibri" w:hAnsi="Calibri"/>
          <w:rtl w:val="0"/>
        </w:rPr>
        <w:t xml:space="preserve">If an employee is prescribed medical cannabis, [Organization Name] will accommodate them in the same way you would any other disability. </w:t>
      </w:r>
    </w:p>
    <w:p w:rsidR="00000000" w:rsidDel="00000000" w:rsidP="00000000" w:rsidRDefault="00000000" w:rsidRPr="00000000" w14:paraId="00000033">
      <w:pPr>
        <w:numPr>
          <w:ilvl w:val="0"/>
          <w:numId w:val="1"/>
        </w:numPr>
        <w:shd w:fill="ffffff" w:val="clear"/>
        <w:ind w:left="720" w:hanging="360"/>
        <w:rPr>
          <w:rFonts w:ascii="Calibri" w:cs="Calibri" w:eastAsia="Calibri" w:hAnsi="Calibri"/>
          <w:sz w:val="21"/>
          <w:szCs w:val="21"/>
        </w:rPr>
      </w:pPr>
      <w:r w:rsidDel="00000000" w:rsidR="00000000" w:rsidRPr="00000000">
        <w:rPr>
          <w:rFonts w:ascii="Calibri" w:cs="Calibri" w:eastAsia="Calibri" w:hAnsi="Calibri"/>
          <w:rtl w:val="0"/>
        </w:rPr>
        <w:t xml:space="preserve">In the situation of medical cannabis, the employee must provide medical information to allow the organization to determine whether they: can perform the essential duties of their position, with the appropriate accommodation; or need to be assigned a different position (e.g. a non-safety-sensitive position.)</w:t>
      </w:r>
    </w:p>
    <w:p w:rsidR="00000000" w:rsidDel="00000000" w:rsidP="00000000" w:rsidRDefault="00000000" w:rsidRPr="00000000" w14:paraId="0000003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5">
      <w:pPr>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hd w:fill="ffffff" w:val="clear"/>
        <w:spacing w:after="30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38">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9">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p>
    <w:p w:rsidR="00000000" w:rsidDel="00000000" w:rsidP="00000000" w:rsidRDefault="00000000" w:rsidRPr="00000000" w14:paraId="0000003A">
      <w:pPr>
        <w:numPr>
          <w:ilvl w:val="1"/>
          <w:numId w:val="4"/>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B">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that they arrive at work impaired</w:t>
      </w:r>
    </w:p>
    <w:p w:rsidR="00000000" w:rsidDel="00000000" w:rsidP="00000000" w:rsidRDefault="00000000" w:rsidRPr="00000000" w14:paraId="0000003C">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D">
      <w:pPr>
        <w:numPr>
          <w:ilvl w:val="0"/>
          <w:numId w:val="4"/>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judgement in the case of work events, either taking place off-site or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’s premises</w:t>
      </w:r>
    </w:p>
    <w:p w:rsidR="00000000" w:rsidDel="00000000" w:rsidP="00000000" w:rsidRDefault="00000000" w:rsidRPr="00000000" w14:paraId="0000003E">
      <w:pPr>
        <w:shd w:fill="ffffff" w:val="clear"/>
        <w:spacing w:after="300" w:lineRule="auto"/>
        <w:rPr>
          <w:rFonts w:ascii="Calibri" w:cs="Calibri" w:eastAsia="Calibri" w:hAnsi="Calibri"/>
          <w:highlight w:val="white"/>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3F">
      <w:pPr>
        <w:shd w:fill="ffffff" w:val="clear"/>
        <w:spacing w:after="30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Supervisors/Managers are responsible for: </w:t>
      </w:r>
    </w:p>
    <w:p w:rsidR="00000000" w:rsidDel="00000000" w:rsidP="00000000" w:rsidRDefault="00000000" w:rsidRPr="00000000" w14:paraId="0000004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4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4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Have timely conversations with employees if they show signs of impairment and/or substance use dependency</w:t>
      </w:r>
    </w:p>
    <w:p w:rsidR="00000000" w:rsidDel="00000000" w:rsidP="00000000" w:rsidRDefault="00000000" w:rsidRPr="00000000" w14:paraId="0000004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Take action when an employee reports impairment or you observe signs of impairment</w:t>
      </w:r>
    </w:p>
    <w:p w:rsidR="00000000" w:rsidDel="00000000" w:rsidP="00000000" w:rsidRDefault="00000000" w:rsidRPr="00000000" w14:paraId="0000004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6">
      <w:pPr>
        <w:numPr>
          <w:ilvl w:val="0"/>
          <w:numId w:val="2"/>
        </w:numPr>
        <w:shd w:fill="ffffff" w:val="clear"/>
        <w:spacing w:after="30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7">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8">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9">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A">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C">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D">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E">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5"/>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50">
      <w:pPr>
        <w:numPr>
          <w:ilvl w:val="1"/>
          <w:numId w:val="5"/>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51">
      <w:pPr>
        <w:numPr>
          <w:ilvl w:val="2"/>
          <w:numId w:val="5"/>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52">
      <w:pPr>
        <w:numPr>
          <w:ilvl w:val="0"/>
          <w:numId w:val="5"/>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53">
      <w:pPr>
        <w:numPr>
          <w:ilvl w:val="0"/>
          <w:numId w:val="5"/>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54">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w:t>
      </w:r>
    </w:p>
    <w:p w:rsidR="00000000" w:rsidDel="00000000" w:rsidP="00000000" w:rsidRDefault="00000000" w:rsidRPr="00000000" w14:paraId="00000056">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57">
      <w:pPr>
        <w:pStyle w:val="Heading2"/>
        <w:spacing w:after="0" w:before="0" w:lineRule="auto"/>
        <w:rPr>
          <w:rFonts w:ascii="Calibri" w:cs="Calibri" w:eastAsia="Calibri" w:hAnsi="Calibri"/>
          <w:sz w:val="22"/>
          <w:szCs w:val="22"/>
        </w:rPr>
      </w:pPr>
      <w:bookmarkStart w:colFirst="0" w:colLast="0" w:name="_heading=h.8vw95w9fitrp" w:id="1"/>
      <w:bookmarkEnd w:id="1"/>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bl>
      <w:tblPr>
        <w:tblStyle w:val="Table1"/>
        <w:tblW w:w="9406.0" w:type="dxa"/>
        <w:jc w:val="left"/>
        <w:tblInd w:w="-108.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61">
      <w:pPr>
        <w:shd w:fill="ffffff" w:val="clear"/>
        <w:rPr>
          <w:rFonts w:ascii="Calibri" w:cs="Calibri" w:eastAsia="Calibri" w:hAnsi="Calibri"/>
        </w:rPr>
      </w:pPr>
      <w:r w:rsidDel="00000000" w:rsidR="00000000" w:rsidRPr="00000000">
        <w:rPr>
          <w:rtl w:val="0"/>
        </w:rPr>
      </w:r>
    </w:p>
    <w:tbl>
      <w:tblPr>
        <w:tblStyle w:val="Table2"/>
        <w:tblW w:w="9455.0" w:type="dxa"/>
        <w:jc w:val="left"/>
        <w:tblInd w:w="-107.0" w:type="dxa"/>
        <w:tblLayout w:type="fixed"/>
        <w:tblLook w:val="0400"/>
      </w:tblPr>
      <w:tblGrid>
        <w:gridCol w:w="2573"/>
        <w:gridCol w:w="582"/>
        <w:gridCol w:w="534"/>
        <w:gridCol w:w="1727"/>
        <w:gridCol w:w="582"/>
        <w:gridCol w:w="530"/>
        <w:gridCol w:w="1815"/>
        <w:gridCol w:w="580"/>
        <w:gridCol w:w="532"/>
        <w:tblGridChange w:id="0">
          <w:tblGrid>
            <w:gridCol w:w="2573"/>
            <w:gridCol w:w="582"/>
            <w:gridCol w:w="534"/>
            <w:gridCol w:w="1727"/>
            <w:gridCol w:w="582"/>
            <w:gridCol w:w="530"/>
            <w:gridCol w:w="1815"/>
            <w:gridCol w:w="580"/>
            <w:gridCol w:w="532"/>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A">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1">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2">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3">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5">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A">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B">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C">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D">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E">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B">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0">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1">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2">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3">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4">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3">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7">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9">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A">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B">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C">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4">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6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B">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D">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1">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2">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3">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4">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5">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6">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B">
      <w:pPr>
        <w:ind w:right="453"/>
        <w:rPr>
          <w:rFonts w:ascii="Calibri" w:cs="Calibri" w:eastAsia="Calibri" w:hAnsi="Calibri"/>
        </w:rPr>
      </w:pPr>
      <w:r w:rsidDel="00000000" w:rsidR="00000000" w:rsidRPr="00000000">
        <w:rPr>
          <w:rtl w:val="0"/>
        </w:rPr>
      </w:r>
    </w:p>
    <w:tbl>
      <w:tblPr>
        <w:tblStyle w:val="Table3"/>
        <w:tblW w:w="9452.0" w:type="dxa"/>
        <w:jc w:val="left"/>
        <w:tblInd w:w="-107.0" w:type="dxa"/>
        <w:tblLayout w:type="fixed"/>
        <w:tblLook w:val="0400"/>
      </w:tblPr>
      <w:tblGrid>
        <w:gridCol w:w="2366"/>
        <w:gridCol w:w="503"/>
        <w:gridCol w:w="154"/>
        <w:gridCol w:w="570"/>
        <w:gridCol w:w="1755"/>
        <w:gridCol w:w="521"/>
        <w:gridCol w:w="478"/>
        <w:gridCol w:w="2010"/>
        <w:gridCol w:w="585"/>
        <w:gridCol w:w="510"/>
        <w:tblGridChange w:id="0">
          <w:tblGrid>
            <w:gridCol w:w="2366"/>
            <w:gridCol w:w="503"/>
            <w:gridCol w:w="154"/>
            <w:gridCol w:w="570"/>
            <w:gridCol w:w="1755"/>
            <w:gridCol w:w="521"/>
            <w:gridCol w:w="478"/>
            <w:gridCol w:w="2010"/>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B">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4">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C">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6">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D">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F">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1">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5">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F">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E">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F">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4">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A">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C">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F">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9">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C">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E">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2">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4">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8">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E">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7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5">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F">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2">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4">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6">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8">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E">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8">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9">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A">
      <w:pPr>
        <w:spacing w:after="6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C">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E">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F">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B0">
      <w:pPr>
        <w:rPr>
          <w:rFonts w:ascii="Calibri" w:cs="Calibri" w:eastAsia="Calibri" w:hAnsi="Calibri"/>
        </w:rPr>
      </w:pPr>
      <w:r w:rsidDel="00000000" w:rsidR="00000000" w:rsidRPr="00000000">
        <w:rPr>
          <w:rtl w:val="0"/>
        </w:rPr>
      </w:r>
    </w:p>
    <w:p w:rsidR="00000000" w:rsidDel="00000000" w:rsidP="00000000" w:rsidRDefault="00000000" w:rsidRPr="00000000" w14:paraId="000002B1">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B2">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3">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4">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108.0" w:type="dxa"/>
        <w:tblLayout w:type="fixed"/>
        <w:tblLook w:val="0400"/>
      </w:tblPr>
      <w:tblGrid>
        <w:gridCol w:w="9473"/>
        <w:tblGridChange w:id="0">
          <w:tblGrid>
            <w:gridCol w:w="9473"/>
          </w:tblGrid>
        </w:tblGridChange>
      </w:tblGrid>
      <w:tr>
        <w:trPr>
          <w:cantSplit w:val="0"/>
          <w:trHeight w:val="1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9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A">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C">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BF">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C0">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1">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2">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108.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Date </w:t>
            </w:r>
          </w:p>
        </w:tc>
      </w:tr>
    </w:tbl>
    <w:p w:rsidR="00000000" w:rsidDel="00000000" w:rsidP="00000000" w:rsidRDefault="00000000" w:rsidRPr="00000000" w14:paraId="000002C8">
      <w:pPr>
        <w:pStyle w:val="Heading2"/>
        <w:spacing w:after="0" w:before="0" w:lineRule="auto"/>
        <w:rPr>
          <w:rFonts w:ascii="Calibri" w:cs="Calibri" w:eastAsia="Calibri" w:hAnsi="Calibri"/>
          <w:sz w:val="22"/>
          <w:szCs w:val="22"/>
        </w:rPr>
      </w:pPr>
      <w:bookmarkStart w:colFirst="0" w:colLast="0" w:name="_heading=h.6iinfukrw7ta" w:id="2"/>
      <w:bookmarkEnd w:id="2"/>
      <w:r w:rsidDel="00000000" w:rsidR="00000000" w:rsidRPr="00000000">
        <w:rPr>
          <w:rtl w:val="0"/>
        </w:rPr>
      </w:r>
    </w:p>
    <w:p w:rsidR="00000000" w:rsidDel="00000000" w:rsidP="00000000" w:rsidRDefault="00000000" w:rsidRPr="00000000" w14:paraId="000002C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2CA">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CC">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abNyUOhAHPpvfVA/amDI+b4Pw==">CgMxLjAyCWguMzdtMmpzZzIOaC44dnc5NXc5Zml0cnAyDmguNmlpbmZ1a3J3N3RhOAByITF4dGIzQVpoOVptdmJUM3BCOTRHazNva2VDTGRBQUlyNQ==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